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6C4" w:rsidRPr="00C23DBD" w:rsidRDefault="004B06C4" w:rsidP="00C23DBD">
      <w:pPr>
        <w:spacing w:line="360" w:lineRule="auto"/>
        <w:jc w:val="center"/>
        <w:rPr>
          <w:rFonts w:ascii="標楷體" w:eastAsia="標楷體" w:hAnsi="標楷體"/>
          <w:b/>
          <w:sz w:val="32"/>
          <w:szCs w:val="28"/>
        </w:rPr>
      </w:pPr>
      <w:r w:rsidRPr="00C23DBD">
        <w:rPr>
          <w:rFonts w:ascii="標楷體" w:eastAsia="標楷體" w:hAnsi="標楷體"/>
          <w:b/>
          <w:sz w:val="32"/>
          <w:szCs w:val="28"/>
        </w:rPr>
        <w:t>屏東縣</w:t>
      </w:r>
      <w:r w:rsidRPr="00C23DBD">
        <w:rPr>
          <w:rFonts w:ascii="標楷體" w:eastAsia="標楷體" w:hAnsi="標楷體" w:hint="eastAsia"/>
          <w:b/>
          <w:sz w:val="32"/>
          <w:szCs w:val="28"/>
        </w:rPr>
        <w:t>瑪家</w:t>
      </w:r>
      <w:r w:rsidRPr="00C23DBD">
        <w:rPr>
          <w:rFonts w:ascii="標楷體" w:eastAsia="標楷體" w:hAnsi="標楷體"/>
          <w:b/>
          <w:sz w:val="32"/>
          <w:szCs w:val="28"/>
        </w:rPr>
        <w:t>國中辦理校內公開授課實施計畫</w:t>
      </w:r>
    </w:p>
    <w:p w:rsidR="00C23DBD" w:rsidRPr="00C23DBD" w:rsidRDefault="00C23DBD" w:rsidP="00C23DBD">
      <w:pPr>
        <w:spacing w:line="227" w:lineRule="exact"/>
        <w:rPr>
          <w:rFonts w:ascii="標楷體" w:eastAsia="標楷體" w:hAnsi="標楷體"/>
          <w:sz w:val="24"/>
          <w:szCs w:val="24"/>
        </w:rPr>
      </w:pPr>
    </w:p>
    <w:p w:rsidR="004B06C4" w:rsidRPr="004A4F90" w:rsidRDefault="004B06C4" w:rsidP="004A4F90">
      <w:pPr>
        <w:spacing w:line="336" w:lineRule="exact"/>
        <w:rPr>
          <w:rFonts w:ascii="標楷體" w:eastAsia="標楷體" w:hAnsi="標楷體"/>
          <w:sz w:val="28"/>
          <w:szCs w:val="28"/>
        </w:rPr>
      </w:pPr>
      <w:r w:rsidRPr="004A4F90">
        <w:rPr>
          <w:rFonts w:ascii="標楷體" w:eastAsia="標楷體" w:hAnsi="標楷體"/>
          <w:b/>
          <w:sz w:val="28"/>
          <w:szCs w:val="28"/>
        </w:rPr>
        <w:t>一、依據：</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(一)教育部國民及學前教育署 105 年 10 月 17 日臺教國署字第 1050111992 號「國民中學及國民小學校長及教師公開授課參考原則」。</w:t>
      </w:r>
    </w:p>
    <w:p w:rsidR="004B06C4" w:rsidRPr="004A4F90" w:rsidRDefault="004B06C4" w:rsidP="004A4F90">
      <w:pPr>
        <w:spacing w:beforeLines="50" w:before="120" w:line="288"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(二)屏東縣政府辦理國民中學與國民小學實施校長及教師公開授課原則補充規定。</w:t>
      </w:r>
    </w:p>
    <w:p w:rsidR="004B06C4" w:rsidRPr="004A4F90" w:rsidRDefault="004B06C4" w:rsidP="004A4F90">
      <w:pPr>
        <w:spacing w:beforeLines="50" w:before="120" w:line="288"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(三)屏東縣國民中學與國民小學邀請家長參與公開授課原則。</w:t>
      </w:r>
    </w:p>
    <w:p w:rsidR="004B06C4" w:rsidRPr="004A4F90" w:rsidRDefault="004B06C4" w:rsidP="004B06C4">
      <w:pPr>
        <w:spacing w:line="227" w:lineRule="exact"/>
        <w:rPr>
          <w:rFonts w:ascii="標楷體" w:eastAsia="標楷體" w:hAnsi="標楷體"/>
          <w:sz w:val="24"/>
          <w:szCs w:val="24"/>
        </w:rPr>
      </w:pPr>
    </w:p>
    <w:p w:rsidR="004B06C4" w:rsidRPr="004A4F90" w:rsidRDefault="004B06C4" w:rsidP="004A4F90">
      <w:pPr>
        <w:spacing w:line="336" w:lineRule="exact"/>
        <w:rPr>
          <w:rFonts w:ascii="標楷體" w:eastAsia="標楷體" w:hAnsi="標楷體"/>
          <w:b/>
          <w:sz w:val="28"/>
          <w:szCs w:val="28"/>
        </w:rPr>
      </w:pPr>
      <w:r w:rsidRPr="004A4F90">
        <w:rPr>
          <w:rFonts w:ascii="標楷體" w:eastAsia="標楷體" w:hAnsi="標楷體"/>
          <w:b/>
          <w:sz w:val="28"/>
          <w:szCs w:val="28"/>
        </w:rPr>
        <w:t>二、目的：</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(一)因應十二年國民基本教育課程綱要總綱規範，建構學校公開授課與專業回饋之實踐模式。</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(二)落實以學生學習為主體之教學模式，提升學生學習動機與學習機會。</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(三)形塑校園同儕共學之教學文化，持續提升教學品質與學生學習成效。</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(四)激勵教學典範學習，落實專業對話，深化教師專業內涵，增進專業回饋知能。</w:t>
      </w:r>
    </w:p>
    <w:p w:rsidR="004B06C4" w:rsidRPr="004A4F90" w:rsidRDefault="004B06C4" w:rsidP="004B06C4">
      <w:pPr>
        <w:spacing w:line="223" w:lineRule="exact"/>
        <w:rPr>
          <w:rFonts w:ascii="標楷體" w:eastAsia="標楷體" w:hAnsi="標楷體"/>
          <w:sz w:val="24"/>
          <w:szCs w:val="24"/>
        </w:rPr>
      </w:pPr>
    </w:p>
    <w:p w:rsidR="004B06C4" w:rsidRPr="00C23DBD" w:rsidRDefault="004B06C4" w:rsidP="004A4F90">
      <w:pPr>
        <w:spacing w:line="336" w:lineRule="exact"/>
        <w:rPr>
          <w:rFonts w:ascii="標楷體" w:eastAsia="標楷體" w:hAnsi="標楷體"/>
          <w:sz w:val="24"/>
          <w:szCs w:val="24"/>
        </w:rPr>
      </w:pPr>
      <w:r w:rsidRPr="004A4F90">
        <w:rPr>
          <w:rFonts w:ascii="標楷體" w:eastAsia="標楷體" w:hAnsi="標楷體"/>
          <w:b/>
          <w:sz w:val="28"/>
          <w:szCs w:val="28"/>
        </w:rPr>
        <w:t>三、實施單位：</w:t>
      </w:r>
      <w:r w:rsidRPr="00C23DBD">
        <w:rPr>
          <w:rFonts w:ascii="標楷體" w:eastAsia="標楷體" w:hAnsi="標楷體"/>
          <w:sz w:val="24"/>
          <w:szCs w:val="24"/>
        </w:rPr>
        <w:t>本校</w:t>
      </w:r>
      <w:r w:rsidRPr="00C23DBD">
        <w:rPr>
          <w:rFonts w:ascii="標楷體" w:eastAsia="標楷體" w:hAnsi="標楷體" w:hint="eastAsia"/>
          <w:sz w:val="24"/>
          <w:szCs w:val="24"/>
        </w:rPr>
        <w:t>教務</w:t>
      </w:r>
      <w:r w:rsidRPr="00C23DBD">
        <w:rPr>
          <w:rFonts w:ascii="標楷體" w:eastAsia="標楷體" w:hAnsi="標楷體"/>
          <w:sz w:val="24"/>
          <w:szCs w:val="24"/>
        </w:rPr>
        <w:t>處</w:t>
      </w:r>
    </w:p>
    <w:p w:rsidR="004B06C4" w:rsidRPr="004A4F90" w:rsidRDefault="004B06C4" w:rsidP="004B06C4">
      <w:pPr>
        <w:spacing w:line="384" w:lineRule="exact"/>
        <w:rPr>
          <w:rFonts w:ascii="標楷體" w:eastAsia="標楷體" w:hAnsi="標楷體"/>
          <w:sz w:val="24"/>
          <w:szCs w:val="24"/>
        </w:rPr>
      </w:pPr>
    </w:p>
    <w:p w:rsidR="004B06C4" w:rsidRPr="004A4F90" w:rsidRDefault="004B06C4" w:rsidP="004A4F90">
      <w:pPr>
        <w:spacing w:line="336" w:lineRule="exact"/>
        <w:rPr>
          <w:rFonts w:ascii="標楷體" w:eastAsia="標楷體" w:hAnsi="標楷體"/>
          <w:b/>
          <w:sz w:val="28"/>
          <w:szCs w:val="28"/>
        </w:rPr>
      </w:pPr>
      <w:r w:rsidRPr="004A4F90">
        <w:rPr>
          <w:rFonts w:ascii="標楷體" w:eastAsia="標楷體" w:hAnsi="標楷體"/>
          <w:b/>
          <w:sz w:val="28"/>
          <w:szCs w:val="28"/>
        </w:rPr>
        <w:t>四、實施方式：</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(一)實施期程：</w:t>
      </w:r>
      <w:r w:rsidR="00E94D2E" w:rsidRPr="004A4F90">
        <w:rPr>
          <w:rFonts w:ascii="標楷體" w:eastAsia="標楷體" w:hAnsi="標楷體" w:hint="eastAsia"/>
          <w:sz w:val="24"/>
          <w:szCs w:val="24"/>
        </w:rPr>
        <w:t>每</w:t>
      </w:r>
      <w:r w:rsidRPr="004A4F90">
        <w:rPr>
          <w:rFonts w:ascii="標楷體" w:eastAsia="標楷體" w:hAnsi="標楷體"/>
          <w:sz w:val="24"/>
          <w:szCs w:val="24"/>
        </w:rPr>
        <w:t>學年度</w:t>
      </w:r>
    </w:p>
    <w:p w:rsidR="004B06C4" w:rsidRPr="004A4F90" w:rsidRDefault="004B06C4" w:rsidP="004A4F90">
      <w:pPr>
        <w:spacing w:beforeLines="50" w:before="12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(二)工作項目：</w:t>
      </w:r>
    </w:p>
    <w:tbl>
      <w:tblPr>
        <w:tblStyle w:val="a4"/>
        <w:tblW w:w="4579" w:type="pct"/>
        <w:tblInd w:w="681" w:type="dxa"/>
        <w:tblLook w:val="04A0" w:firstRow="1" w:lastRow="0" w:firstColumn="1" w:lastColumn="0" w:noHBand="0" w:noVBand="1"/>
      </w:tblPr>
      <w:tblGrid>
        <w:gridCol w:w="1191"/>
        <w:gridCol w:w="2275"/>
        <w:gridCol w:w="3676"/>
        <w:gridCol w:w="1360"/>
      </w:tblGrid>
      <w:tr w:rsidR="00C23DBD" w:rsidRPr="004A4F90" w:rsidTr="00C23DBD">
        <w:tc>
          <w:tcPr>
            <w:tcW w:w="700" w:type="pct"/>
            <w:shd w:val="clear" w:color="auto" w:fill="DEEAF6" w:themeFill="accent1" w:themeFillTint="33"/>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進</w:t>
            </w:r>
            <w:r w:rsidR="00C23DBD">
              <w:rPr>
                <w:rFonts w:ascii="標楷體" w:eastAsia="標楷體" w:hAnsi="標楷體" w:hint="eastAsia"/>
                <w:w w:val="99"/>
                <w:sz w:val="24"/>
                <w:szCs w:val="24"/>
              </w:rPr>
              <w:t xml:space="preserve"> </w:t>
            </w:r>
            <w:r w:rsidRPr="004A4F90">
              <w:rPr>
                <w:rFonts w:ascii="標楷體" w:eastAsia="標楷體" w:hAnsi="標楷體"/>
                <w:w w:val="99"/>
                <w:sz w:val="24"/>
                <w:szCs w:val="24"/>
              </w:rPr>
              <w:t>程</w:t>
            </w:r>
          </w:p>
        </w:tc>
        <w:tc>
          <w:tcPr>
            <w:tcW w:w="1338" w:type="pct"/>
            <w:shd w:val="clear" w:color="auto" w:fill="DEEAF6" w:themeFill="accent1" w:themeFillTint="33"/>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工</w:t>
            </w:r>
            <w:r w:rsidR="00C23DBD">
              <w:rPr>
                <w:rFonts w:ascii="標楷體" w:eastAsia="標楷體" w:hAnsi="標楷體" w:hint="eastAsia"/>
                <w:w w:val="99"/>
                <w:sz w:val="24"/>
                <w:szCs w:val="24"/>
              </w:rPr>
              <w:t xml:space="preserve"> </w:t>
            </w:r>
            <w:r w:rsidRPr="004A4F90">
              <w:rPr>
                <w:rFonts w:ascii="標楷體" w:eastAsia="標楷體" w:hAnsi="標楷體"/>
                <w:w w:val="99"/>
                <w:sz w:val="24"/>
                <w:szCs w:val="24"/>
              </w:rPr>
              <w:t>作</w:t>
            </w:r>
            <w:r w:rsidR="00C23DBD">
              <w:rPr>
                <w:rFonts w:ascii="標楷體" w:eastAsia="標楷體" w:hAnsi="標楷體" w:hint="eastAsia"/>
                <w:w w:val="99"/>
                <w:sz w:val="24"/>
                <w:szCs w:val="24"/>
              </w:rPr>
              <w:t xml:space="preserve"> </w:t>
            </w:r>
            <w:r w:rsidRPr="004A4F90">
              <w:rPr>
                <w:rFonts w:ascii="標楷體" w:eastAsia="標楷體" w:hAnsi="標楷體"/>
                <w:w w:val="99"/>
                <w:sz w:val="24"/>
                <w:szCs w:val="24"/>
              </w:rPr>
              <w:t>項</w:t>
            </w:r>
            <w:r w:rsidR="00C23DBD">
              <w:rPr>
                <w:rFonts w:ascii="標楷體" w:eastAsia="標楷體" w:hAnsi="標楷體" w:hint="eastAsia"/>
                <w:w w:val="99"/>
                <w:sz w:val="24"/>
                <w:szCs w:val="24"/>
              </w:rPr>
              <w:t xml:space="preserve"> </w:t>
            </w:r>
            <w:r w:rsidRPr="004A4F90">
              <w:rPr>
                <w:rFonts w:ascii="標楷體" w:eastAsia="標楷體" w:hAnsi="標楷體"/>
                <w:w w:val="99"/>
                <w:sz w:val="24"/>
                <w:szCs w:val="24"/>
              </w:rPr>
              <w:t>目</w:t>
            </w:r>
          </w:p>
        </w:tc>
        <w:tc>
          <w:tcPr>
            <w:tcW w:w="2162" w:type="pct"/>
            <w:shd w:val="clear" w:color="auto" w:fill="DEEAF6" w:themeFill="accent1" w:themeFillTint="33"/>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sz w:val="24"/>
                <w:szCs w:val="24"/>
              </w:rPr>
              <w:t>說</w:t>
            </w:r>
            <w:r w:rsidR="00C23DBD">
              <w:rPr>
                <w:rFonts w:ascii="標楷體" w:eastAsia="標楷體" w:hAnsi="標楷體" w:hint="eastAsia"/>
                <w:sz w:val="24"/>
                <w:szCs w:val="24"/>
              </w:rPr>
              <w:t xml:space="preserve"> </w:t>
            </w:r>
            <w:r w:rsidRPr="004A4F90">
              <w:rPr>
                <w:rFonts w:ascii="標楷體" w:eastAsia="標楷體" w:hAnsi="標楷體"/>
                <w:sz w:val="24"/>
                <w:szCs w:val="24"/>
              </w:rPr>
              <w:t>明</w:t>
            </w:r>
          </w:p>
        </w:tc>
        <w:tc>
          <w:tcPr>
            <w:tcW w:w="800" w:type="pct"/>
            <w:shd w:val="clear" w:color="auto" w:fill="DEEAF6" w:themeFill="accent1" w:themeFillTint="33"/>
            <w:vAlign w:val="center"/>
          </w:tcPr>
          <w:p w:rsidR="004A4F90" w:rsidRPr="004A4F90" w:rsidRDefault="00C23DBD" w:rsidP="00C23DBD">
            <w:pPr>
              <w:spacing w:line="288" w:lineRule="exact"/>
              <w:jc w:val="center"/>
              <w:rPr>
                <w:rFonts w:ascii="標楷體" w:eastAsia="標楷體" w:hAnsi="標楷體"/>
                <w:sz w:val="24"/>
                <w:szCs w:val="24"/>
              </w:rPr>
            </w:pPr>
            <w:r>
              <w:rPr>
                <w:rFonts w:ascii="標楷體" w:eastAsia="標楷體" w:hAnsi="標楷體"/>
                <w:sz w:val="24"/>
                <w:szCs w:val="24"/>
              </w:rPr>
              <w:t>備</w:t>
            </w:r>
            <w:r>
              <w:rPr>
                <w:rFonts w:ascii="標楷體" w:eastAsia="標楷體" w:hAnsi="標楷體" w:hint="eastAsia"/>
                <w:sz w:val="24"/>
                <w:szCs w:val="24"/>
              </w:rPr>
              <w:t xml:space="preserve"> 註</w:t>
            </w:r>
          </w:p>
        </w:tc>
      </w:tr>
      <w:tr w:rsidR="00C23DBD" w:rsidRPr="004A4F90" w:rsidTr="00C23DBD">
        <w:tc>
          <w:tcPr>
            <w:tcW w:w="700" w:type="pct"/>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觀課前</w:t>
            </w:r>
          </w:p>
        </w:tc>
        <w:tc>
          <w:tcPr>
            <w:tcW w:w="1338" w:type="pct"/>
            <w:vAlign w:val="center"/>
          </w:tcPr>
          <w:p w:rsidR="00C23DBD" w:rsidRDefault="004A4F90" w:rsidP="00C23DBD">
            <w:pPr>
              <w:spacing w:line="288" w:lineRule="exact"/>
              <w:jc w:val="center"/>
              <w:rPr>
                <w:rFonts w:ascii="標楷體" w:eastAsia="標楷體" w:hAnsi="標楷體"/>
                <w:w w:val="99"/>
                <w:sz w:val="24"/>
                <w:szCs w:val="24"/>
              </w:rPr>
            </w:pPr>
            <w:r w:rsidRPr="004A4F90">
              <w:rPr>
                <w:rFonts w:ascii="標楷體" w:eastAsia="標楷體" w:hAnsi="標楷體"/>
                <w:w w:val="99"/>
                <w:sz w:val="24"/>
                <w:szCs w:val="24"/>
              </w:rPr>
              <w:t>共同備課</w:t>
            </w:r>
          </w:p>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(說課)</w:t>
            </w:r>
          </w:p>
        </w:tc>
        <w:tc>
          <w:tcPr>
            <w:tcW w:w="2162" w:type="pct"/>
          </w:tcPr>
          <w:p w:rsidR="004A4F90" w:rsidRPr="004A4F90" w:rsidRDefault="004A4F90" w:rsidP="00C23DBD">
            <w:pPr>
              <w:ind w:left="237" w:hangingChars="100" w:hanging="237"/>
              <w:jc w:val="both"/>
              <w:rPr>
                <w:rFonts w:ascii="標楷體" w:eastAsia="標楷體" w:hAnsi="標楷體"/>
                <w:sz w:val="24"/>
                <w:szCs w:val="24"/>
              </w:rPr>
            </w:pPr>
            <w:r w:rsidRPr="004A4F90">
              <w:rPr>
                <w:rFonts w:ascii="標楷體" w:eastAsia="標楷體" w:hAnsi="標楷體"/>
                <w:w w:val="99"/>
                <w:sz w:val="24"/>
                <w:szCs w:val="24"/>
              </w:rPr>
              <w:t>1.授課人員於公開授課前，應與同組夥伴進行</w:t>
            </w:r>
            <w:r w:rsidRPr="004A4F90">
              <w:rPr>
                <w:rFonts w:ascii="標楷體" w:eastAsia="標楷體" w:hAnsi="標楷體"/>
                <w:sz w:val="24"/>
                <w:szCs w:val="24"/>
              </w:rPr>
              <w:t>課程前的討論與分享，落實以學生學習為主體的教學法，且需有備課紀錄。</w:t>
            </w:r>
          </w:p>
          <w:p w:rsidR="004A4F90" w:rsidRPr="004A4F90" w:rsidRDefault="004A4F90" w:rsidP="00C23DBD">
            <w:pPr>
              <w:ind w:left="237" w:hangingChars="100" w:hanging="237"/>
              <w:jc w:val="both"/>
              <w:rPr>
                <w:rFonts w:ascii="標楷體" w:eastAsia="標楷體" w:hAnsi="標楷體"/>
                <w:w w:val="99"/>
                <w:sz w:val="24"/>
                <w:szCs w:val="24"/>
              </w:rPr>
            </w:pPr>
            <w:r w:rsidRPr="004A4F90">
              <w:rPr>
                <w:rFonts w:ascii="標楷體" w:eastAsia="標楷體" w:hAnsi="標楷體"/>
                <w:w w:val="99"/>
                <w:sz w:val="24"/>
                <w:szCs w:val="24"/>
              </w:rPr>
              <w:t>2.說明課程設計原則、理念、教學流程、學生</w:t>
            </w:r>
            <w:r w:rsidRPr="004A4F90">
              <w:rPr>
                <w:rFonts w:ascii="標楷體" w:eastAsia="標楷體" w:hAnsi="標楷體"/>
                <w:sz w:val="24"/>
                <w:szCs w:val="24"/>
              </w:rPr>
              <w:t>學習目標及觀察焦點等，提供觀課教師掌握觀課重點。</w:t>
            </w:r>
          </w:p>
        </w:tc>
        <w:tc>
          <w:tcPr>
            <w:tcW w:w="800" w:type="pct"/>
          </w:tcPr>
          <w:p w:rsidR="004A4F90" w:rsidRPr="004A4F90" w:rsidRDefault="004A4F90" w:rsidP="004A4F90">
            <w:pPr>
              <w:spacing w:line="288" w:lineRule="exact"/>
              <w:rPr>
                <w:rFonts w:ascii="標楷體" w:eastAsia="標楷體" w:hAnsi="標楷體"/>
                <w:sz w:val="24"/>
                <w:szCs w:val="24"/>
              </w:rPr>
            </w:pPr>
          </w:p>
        </w:tc>
      </w:tr>
      <w:tr w:rsidR="00C23DBD" w:rsidRPr="004A4F90" w:rsidTr="00C23DBD">
        <w:tc>
          <w:tcPr>
            <w:tcW w:w="700" w:type="pct"/>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公開授課</w:t>
            </w:r>
          </w:p>
        </w:tc>
        <w:tc>
          <w:tcPr>
            <w:tcW w:w="1338" w:type="pct"/>
            <w:vAlign w:val="center"/>
          </w:tcPr>
          <w:p w:rsidR="00C23DBD" w:rsidRDefault="004A4F90" w:rsidP="00C23DBD">
            <w:pPr>
              <w:spacing w:line="288" w:lineRule="exact"/>
              <w:jc w:val="center"/>
              <w:rPr>
                <w:rFonts w:ascii="標楷體" w:eastAsia="標楷體" w:hAnsi="標楷體"/>
                <w:w w:val="99"/>
                <w:sz w:val="24"/>
                <w:szCs w:val="24"/>
              </w:rPr>
            </w:pPr>
            <w:r w:rsidRPr="004A4F90">
              <w:rPr>
                <w:rFonts w:ascii="標楷體" w:eastAsia="標楷體" w:hAnsi="標楷體"/>
                <w:w w:val="99"/>
                <w:sz w:val="24"/>
                <w:szCs w:val="24"/>
              </w:rPr>
              <w:t>教學觀察</w:t>
            </w:r>
          </w:p>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(觀課)</w:t>
            </w:r>
          </w:p>
        </w:tc>
        <w:tc>
          <w:tcPr>
            <w:tcW w:w="2162" w:type="pct"/>
          </w:tcPr>
          <w:p w:rsidR="004A4F90" w:rsidRPr="004A4F90" w:rsidRDefault="004A4F90" w:rsidP="00C23DBD">
            <w:pPr>
              <w:ind w:left="240" w:hangingChars="100" w:hanging="240"/>
              <w:jc w:val="both"/>
              <w:rPr>
                <w:rFonts w:ascii="標楷體" w:eastAsia="標楷體" w:hAnsi="標楷體"/>
                <w:sz w:val="24"/>
                <w:szCs w:val="24"/>
              </w:rPr>
            </w:pPr>
            <w:r w:rsidRPr="004A4F90">
              <w:rPr>
                <w:rFonts w:ascii="標楷體" w:eastAsia="標楷體" w:hAnsi="標楷體"/>
                <w:sz w:val="24"/>
                <w:szCs w:val="24"/>
              </w:rPr>
              <w:t>1.請授課教師提供簡要版課程與教學設計書面資料或教學媒體，供觀課教師參考，以利專業回饋之進行。</w:t>
            </w:r>
          </w:p>
          <w:p w:rsidR="004A4F90" w:rsidRPr="004A4F90" w:rsidRDefault="004A4F90" w:rsidP="00C23DBD">
            <w:pPr>
              <w:ind w:left="237" w:hangingChars="100" w:hanging="237"/>
              <w:jc w:val="both"/>
              <w:rPr>
                <w:rFonts w:ascii="標楷體" w:eastAsia="標楷體" w:hAnsi="標楷體"/>
                <w:sz w:val="24"/>
                <w:szCs w:val="24"/>
              </w:rPr>
            </w:pPr>
            <w:r w:rsidRPr="004A4F90">
              <w:rPr>
                <w:rFonts w:ascii="標楷體" w:eastAsia="標楷體" w:hAnsi="標楷體"/>
                <w:w w:val="99"/>
                <w:sz w:val="24"/>
                <w:szCs w:val="24"/>
              </w:rPr>
              <w:t>2.觀課人員應就具體客觀之教學事實，不呈現</w:t>
            </w:r>
            <w:r w:rsidRPr="004A4F90">
              <w:rPr>
                <w:rFonts w:ascii="標楷體" w:eastAsia="標楷體" w:hAnsi="標楷體"/>
                <w:sz w:val="24"/>
                <w:szCs w:val="24"/>
              </w:rPr>
              <w:t>個人主觀價值判斷，並得於觀課前分配觀課教師觀察不同學生之學習。</w:t>
            </w:r>
          </w:p>
        </w:tc>
        <w:tc>
          <w:tcPr>
            <w:tcW w:w="800" w:type="pct"/>
          </w:tcPr>
          <w:p w:rsidR="004A4F90" w:rsidRPr="004A4F90" w:rsidRDefault="004A4F90" w:rsidP="004A4F90">
            <w:pPr>
              <w:spacing w:line="288" w:lineRule="exact"/>
              <w:rPr>
                <w:rFonts w:ascii="標楷體" w:eastAsia="標楷體" w:hAnsi="標楷體"/>
                <w:sz w:val="24"/>
                <w:szCs w:val="24"/>
              </w:rPr>
            </w:pPr>
          </w:p>
        </w:tc>
      </w:tr>
      <w:tr w:rsidR="00C23DBD" w:rsidRPr="004A4F90" w:rsidTr="00C23DBD">
        <w:tc>
          <w:tcPr>
            <w:tcW w:w="700" w:type="pct"/>
            <w:vAlign w:val="center"/>
          </w:tcPr>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觀課後</w:t>
            </w:r>
          </w:p>
        </w:tc>
        <w:tc>
          <w:tcPr>
            <w:tcW w:w="1338" w:type="pct"/>
            <w:vAlign w:val="center"/>
          </w:tcPr>
          <w:p w:rsidR="00C23DBD" w:rsidRDefault="004A4F90" w:rsidP="00C23DBD">
            <w:pPr>
              <w:spacing w:line="288" w:lineRule="exact"/>
              <w:jc w:val="center"/>
              <w:rPr>
                <w:rFonts w:ascii="標楷體" w:eastAsia="標楷體" w:hAnsi="標楷體"/>
                <w:w w:val="99"/>
                <w:sz w:val="24"/>
                <w:szCs w:val="24"/>
              </w:rPr>
            </w:pPr>
            <w:r w:rsidRPr="004A4F90">
              <w:rPr>
                <w:rFonts w:ascii="標楷體" w:eastAsia="標楷體" w:hAnsi="標楷體"/>
                <w:w w:val="99"/>
                <w:sz w:val="24"/>
                <w:szCs w:val="24"/>
              </w:rPr>
              <w:t>回饋會談</w:t>
            </w:r>
          </w:p>
          <w:p w:rsidR="004A4F90" w:rsidRPr="004A4F90" w:rsidRDefault="004A4F90" w:rsidP="00C23DBD">
            <w:pPr>
              <w:spacing w:line="288" w:lineRule="exact"/>
              <w:jc w:val="center"/>
              <w:rPr>
                <w:rFonts w:ascii="標楷體" w:eastAsia="標楷體" w:hAnsi="標楷體"/>
                <w:sz w:val="24"/>
                <w:szCs w:val="24"/>
              </w:rPr>
            </w:pPr>
            <w:r w:rsidRPr="004A4F90">
              <w:rPr>
                <w:rFonts w:ascii="標楷體" w:eastAsia="標楷體" w:hAnsi="標楷體"/>
                <w:w w:val="99"/>
                <w:sz w:val="24"/>
                <w:szCs w:val="24"/>
              </w:rPr>
              <w:t>(議課)</w:t>
            </w:r>
          </w:p>
        </w:tc>
        <w:tc>
          <w:tcPr>
            <w:tcW w:w="2162" w:type="pct"/>
          </w:tcPr>
          <w:p w:rsidR="004A4F90" w:rsidRPr="004A4F90" w:rsidRDefault="004A4F90" w:rsidP="00C23DBD">
            <w:pPr>
              <w:ind w:left="237" w:hangingChars="100" w:hanging="237"/>
              <w:jc w:val="both"/>
              <w:rPr>
                <w:rFonts w:ascii="標楷體" w:eastAsia="標楷體" w:hAnsi="標楷體"/>
                <w:sz w:val="24"/>
                <w:szCs w:val="24"/>
              </w:rPr>
            </w:pPr>
            <w:r w:rsidRPr="004A4F90">
              <w:rPr>
                <w:rFonts w:ascii="標楷體" w:eastAsia="標楷體" w:hAnsi="標楷體"/>
                <w:w w:val="99"/>
                <w:sz w:val="24"/>
                <w:szCs w:val="24"/>
              </w:rPr>
              <w:t>公開授課人員及觀課教師於公開授課後，就該</w:t>
            </w:r>
            <w:r w:rsidRPr="004A4F90">
              <w:rPr>
                <w:rFonts w:ascii="標楷體" w:eastAsia="標楷體" w:hAnsi="標楷體"/>
                <w:sz w:val="24"/>
                <w:szCs w:val="24"/>
              </w:rPr>
              <w:t>公開授課之學生課堂學習情形及教學觀察結果，進行專業回饋及研討。</w:t>
            </w:r>
          </w:p>
        </w:tc>
        <w:tc>
          <w:tcPr>
            <w:tcW w:w="800" w:type="pct"/>
          </w:tcPr>
          <w:p w:rsidR="004A4F90" w:rsidRPr="004A4F90" w:rsidRDefault="004A4F90" w:rsidP="004A4F90">
            <w:pPr>
              <w:spacing w:line="288" w:lineRule="exact"/>
              <w:rPr>
                <w:rFonts w:ascii="標楷體" w:eastAsia="標楷體" w:hAnsi="標楷體"/>
                <w:sz w:val="24"/>
                <w:szCs w:val="24"/>
              </w:rPr>
            </w:pPr>
          </w:p>
        </w:tc>
      </w:tr>
    </w:tbl>
    <w:p w:rsidR="004A4F90" w:rsidRPr="004A4F90" w:rsidRDefault="004A4F90" w:rsidP="004B06C4">
      <w:pPr>
        <w:spacing w:line="288" w:lineRule="exact"/>
        <w:ind w:left="360"/>
        <w:rPr>
          <w:rFonts w:ascii="標楷體" w:eastAsia="標楷體" w:hAnsi="標楷體"/>
          <w:sz w:val="24"/>
          <w:szCs w:val="24"/>
        </w:rPr>
      </w:pPr>
    </w:p>
    <w:p w:rsidR="004A4F90" w:rsidRPr="004A4F90" w:rsidRDefault="004A4F90" w:rsidP="004B06C4">
      <w:pPr>
        <w:spacing w:line="288" w:lineRule="exact"/>
        <w:ind w:left="360"/>
        <w:rPr>
          <w:rFonts w:ascii="標楷體" w:eastAsia="標楷體" w:hAnsi="標楷體"/>
          <w:sz w:val="24"/>
          <w:szCs w:val="24"/>
        </w:rPr>
      </w:pPr>
    </w:p>
    <w:p w:rsidR="004B06C4" w:rsidRPr="004A4F90" w:rsidRDefault="004B06C4" w:rsidP="004B06C4">
      <w:pPr>
        <w:spacing w:line="42" w:lineRule="exact"/>
        <w:rPr>
          <w:rFonts w:ascii="標楷體" w:eastAsia="標楷體" w:hAnsi="標楷體"/>
          <w:sz w:val="24"/>
          <w:szCs w:val="24"/>
        </w:rPr>
      </w:pPr>
    </w:p>
    <w:p w:rsidR="004B06C4" w:rsidRPr="004A4F90" w:rsidRDefault="004B06C4" w:rsidP="004B06C4">
      <w:pPr>
        <w:rPr>
          <w:rFonts w:ascii="標楷體" w:eastAsia="標楷體" w:hAnsi="標楷體"/>
          <w:sz w:val="24"/>
          <w:szCs w:val="24"/>
        </w:rPr>
        <w:sectPr w:rsidR="004B06C4" w:rsidRPr="004A4F90" w:rsidSect="004B06C4">
          <w:pgSz w:w="11900" w:h="16838"/>
          <w:pgMar w:top="851" w:right="1306" w:bottom="0" w:left="1300" w:header="0" w:footer="0" w:gutter="0"/>
          <w:cols w:space="0" w:equalWidth="0">
            <w:col w:w="9300"/>
          </w:cols>
          <w:docGrid w:linePitch="360"/>
        </w:sectPr>
      </w:pPr>
    </w:p>
    <w:p w:rsidR="004B06C4" w:rsidRPr="004A4F90" w:rsidRDefault="004B06C4" w:rsidP="004B06C4">
      <w:pPr>
        <w:spacing w:line="0" w:lineRule="atLeast"/>
        <w:ind w:right="-19"/>
        <w:jc w:val="center"/>
        <w:rPr>
          <w:rFonts w:ascii="標楷體" w:eastAsia="標楷體" w:hAnsi="標楷體"/>
          <w:sz w:val="24"/>
          <w:szCs w:val="24"/>
        </w:rPr>
        <w:sectPr w:rsidR="004B06C4" w:rsidRPr="004A4F90">
          <w:type w:val="continuous"/>
          <w:pgSz w:w="11900" w:h="16838"/>
          <w:pgMar w:top="1424" w:right="1306" w:bottom="0" w:left="1300" w:header="0" w:footer="0" w:gutter="0"/>
          <w:cols w:space="0" w:equalWidth="0">
            <w:col w:w="9300"/>
          </w:cols>
          <w:docGrid w:linePitch="360"/>
        </w:sectPr>
      </w:pPr>
    </w:p>
    <w:p w:rsidR="004B06C4" w:rsidRPr="004A4F90" w:rsidRDefault="004B06C4" w:rsidP="004A4F90">
      <w:pPr>
        <w:spacing w:beforeLines="50" w:before="180" w:line="276" w:lineRule="exact"/>
        <w:ind w:leftChars="100" w:left="680" w:hangingChars="200" w:hanging="480"/>
        <w:rPr>
          <w:rFonts w:ascii="標楷體" w:eastAsia="標楷體" w:hAnsi="標楷體"/>
          <w:sz w:val="24"/>
          <w:szCs w:val="24"/>
        </w:rPr>
      </w:pPr>
      <w:bookmarkStart w:id="0" w:name="page93"/>
      <w:bookmarkEnd w:id="0"/>
      <w:r w:rsidRPr="004A4F90">
        <w:rPr>
          <w:rFonts w:ascii="標楷體" w:eastAsia="標楷體" w:hAnsi="標楷體"/>
          <w:sz w:val="24"/>
          <w:szCs w:val="24"/>
        </w:rPr>
        <w:lastRenderedPageBreak/>
        <w:t>(三)實施方式：</w:t>
      </w:r>
    </w:p>
    <w:p w:rsidR="004B06C4"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1.</w:t>
      </w:r>
      <w:r w:rsidR="004B06C4" w:rsidRPr="004A4F90">
        <w:rPr>
          <w:rFonts w:ascii="標楷體" w:eastAsia="標楷體" w:hAnsi="標楷體"/>
          <w:sz w:val="24"/>
          <w:szCs w:val="24"/>
        </w:rPr>
        <w:t>執行對象</w:t>
      </w:r>
      <w:r w:rsidR="0057448A" w:rsidRPr="004A4F90">
        <w:rPr>
          <w:rFonts w:ascii="標楷體" w:eastAsia="標楷體" w:hAnsi="標楷體"/>
          <w:sz w:val="24"/>
          <w:szCs w:val="24"/>
        </w:rPr>
        <w:t>：</w:t>
      </w:r>
      <w:r w:rsidR="00E94D2E" w:rsidRPr="004A4F90">
        <w:rPr>
          <w:rFonts w:ascii="標楷體" w:eastAsia="標楷體" w:hAnsi="標楷體" w:hint="eastAsia"/>
          <w:sz w:val="24"/>
          <w:szCs w:val="24"/>
        </w:rPr>
        <w:t>使用108課綱之</w:t>
      </w:r>
      <w:r w:rsidR="0057448A" w:rsidRPr="004A4F90">
        <w:rPr>
          <w:rFonts w:ascii="標楷體" w:eastAsia="標楷體" w:hAnsi="標楷體"/>
          <w:sz w:val="24"/>
          <w:szCs w:val="24"/>
        </w:rPr>
        <w:t>授課教師強制參加，其餘採取志願方式，請於</w:t>
      </w:r>
      <w:r w:rsidR="00E94D2E" w:rsidRPr="004A4F90">
        <w:rPr>
          <w:rFonts w:ascii="標楷體" w:eastAsia="標楷體" w:hAnsi="標楷體" w:hint="eastAsia"/>
          <w:sz w:val="24"/>
          <w:szCs w:val="24"/>
        </w:rPr>
        <w:t>每學年上學期第二周</w:t>
      </w:r>
      <w:r w:rsidR="0057448A" w:rsidRPr="004A4F90">
        <w:rPr>
          <w:rFonts w:ascii="標楷體" w:eastAsia="標楷體" w:hAnsi="標楷體"/>
          <w:sz w:val="24"/>
          <w:szCs w:val="24"/>
        </w:rPr>
        <w:t>前繳交分組表至教務處</w:t>
      </w:r>
      <w:r w:rsidR="0057448A" w:rsidRPr="004A4F90">
        <w:rPr>
          <w:rFonts w:ascii="標楷體" w:eastAsia="標楷體" w:hAnsi="標楷體" w:hint="eastAsia"/>
          <w:sz w:val="24"/>
          <w:szCs w:val="24"/>
        </w:rPr>
        <w:t>教學</w:t>
      </w:r>
      <w:r w:rsidR="0057448A" w:rsidRPr="004A4F90">
        <w:rPr>
          <w:rFonts w:ascii="標楷體" w:eastAsia="標楷體" w:hAnsi="標楷體"/>
          <w:sz w:val="24"/>
          <w:szCs w:val="24"/>
        </w:rPr>
        <w:t>組，以利後續作業流程。</w:t>
      </w:r>
    </w:p>
    <w:p w:rsidR="004B06C4"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2.</w:t>
      </w:r>
      <w:r w:rsidR="004B06C4" w:rsidRPr="004A4F90">
        <w:rPr>
          <w:rFonts w:ascii="標楷體" w:eastAsia="標楷體" w:hAnsi="標楷體"/>
          <w:sz w:val="24"/>
          <w:szCs w:val="24"/>
        </w:rPr>
        <w:t>本校</w:t>
      </w:r>
      <w:r w:rsidR="0057448A" w:rsidRPr="004A4F90">
        <w:rPr>
          <w:rFonts w:ascii="標楷體" w:eastAsia="標楷體" w:hAnsi="標楷體"/>
          <w:sz w:val="24"/>
          <w:szCs w:val="24"/>
        </w:rPr>
        <w:t>公開授課</w:t>
      </w:r>
      <w:r w:rsidR="0057448A" w:rsidRPr="004A4F90">
        <w:rPr>
          <w:rFonts w:ascii="標楷體" w:eastAsia="標楷體" w:hAnsi="標楷體" w:hint="eastAsia"/>
          <w:sz w:val="24"/>
          <w:szCs w:val="24"/>
        </w:rPr>
        <w:t>組別每組至少3人一組</w:t>
      </w:r>
      <w:r w:rsidR="004B06C4" w:rsidRPr="004A4F90">
        <w:rPr>
          <w:rFonts w:ascii="標楷體" w:eastAsia="標楷體" w:hAnsi="標楷體"/>
          <w:sz w:val="24"/>
          <w:szCs w:val="24"/>
        </w:rPr>
        <w:t>；有關分組表及各教師公開授課班級、時間、領域科目，請參閱實施期程表如附件1。</w:t>
      </w:r>
    </w:p>
    <w:p w:rsidR="00E94D2E"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3.</w:t>
      </w:r>
      <w:r w:rsidR="00E94D2E" w:rsidRPr="004A4F90">
        <w:rPr>
          <w:rFonts w:ascii="標楷體" w:eastAsia="標楷體" w:hAnsi="標楷體" w:hint="eastAsia"/>
          <w:sz w:val="24"/>
          <w:szCs w:val="24"/>
        </w:rPr>
        <w:t>授課科目以該教師之主要科目為主。</w:t>
      </w:r>
    </w:p>
    <w:p w:rsidR="00E94D2E"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4.</w:t>
      </w:r>
      <w:r w:rsidR="00E94D2E" w:rsidRPr="004A4F90">
        <w:rPr>
          <w:rFonts w:ascii="標楷體" w:eastAsia="標楷體" w:hAnsi="標楷體"/>
          <w:sz w:val="24"/>
          <w:szCs w:val="24"/>
        </w:rPr>
        <w:t>有關公開授課活動相關表格，請參閱附件2~4。</w:t>
      </w:r>
    </w:p>
    <w:p w:rsidR="004B06C4" w:rsidRPr="004A4F90" w:rsidRDefault="004B06C4" w:rsidP="004A4F90">
      <w:pPr>
        <w:spacing w:beforeLines="50" w:before="18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(四)說明事項：(請各校依據學校情形自行說明)</w:t>
      </w:r>
    </w:p>
    <w:p w:rsidR="004B06C4"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1.</w:t>
      </w:r>
      <w:r w:rsidR="004B06C4" w:rsidRPr="004A4F90">
        <w:rPr>
          <w:rFonts w:ascii="標楷體" w:eastAsia="標楷體" w:hAnsi="標楷體"/>
          <w:sz w:val="24"/>
          <w:szCs w:val="24"/>
        </w:rPr>
        <w:t>各組觀課前、中、後相關表件紀錄，請於</w:t>
      </w:r>
      <w:r w:rsidR="0057448A" w:rsidRPr="004A4F90">
        <w:rPr>
          <w:rFonts w:ascii="標楷體" w:eastAsia="標楷體" w:hAnsi="標楷體" w:hint="eastAsia"/>
          <w:sz w:val="24"/>
          <w:szCs w:val="24"/>
        </w:rPr>
        <w:t>每學期</w:t>
      </w:r>
      <w:r w:rsidR="00E94D2E" w:rsidRPr="004A4F90">
        <w:rPr>
          <w:rFonts w:ascii="標楷體" w:eastAsia="標楷體" w:hAnsi="標楷體" w:hint="eastAsia"/>
          <w:sz w:val="24"/>
          <w:szCs w:val="24"/>
        </w:rPr>
        <w:t>第二十周</w:t>
      </w:r>
      <w:r w:rsidR="004B06C4" w:rsidRPr="004A4F90">
        <w:rPr>
          <w:rFonts w:ascii="標楷體" w:eastAsia="標楷體" w:hAnsi="標楷體"/>
          <w:sz w:val="24"/>
          <w:szCs w:val="24"/>
        </w:rPr>
        <w:t>至教務處</w:t>
      </w:r>
      <w:r w:rsidR="0057448A" w:rsidRPr="004A4F90">
        <w:rPr>
          <w:rFonts w:ascii="標楷體" w:eastAsia="標楷體" w:hAnsi="標楷體" w:hint="eastAsia"/>
          <w:sz w:val="24"/>
          <w:szCs w:val="24"/>
        </w:rPr>
        <w:t>教學組</w:t>
      </w:r>
      <w:r w:rsidR="004B06C4" w:rsidRPr="004A4F90">
        <w:rPr>
          <w:rFonts w:ascii="標楷體" w:eastAsia="標楷體" w:hAnsi="標楷體"/>
          <w:sz w:val="24"/>
          <w:szCs w:val="24"/>
        </w:rPr>
        <w:t>，以利逐級核章；並提供於教育處教學正常化訪視或督學視導時</w:t>
      </w:r>
      <w:r w:rsidR="00BC63A8" w:rsidRPr="004A4F90">
        <w:rPr>
          <w:rFonts w:ascii="標楷體" w:eastAsia="標楷體" w:hAnsi="標楷體" w:hint="eastAsia"/>
          <w:sz w:val="24"/>
          <w:szCs w:val="24"/>
        </w:rPr>
        <w:t>檢核</w:t>
      </w:r>
      <w:r w:rsidR="004B06C4" w:rsidRPr="004A4F90">
        <w:rPr>
          <w:rFonts w:ascii="標楷體" w:eastAsia="標楷體" w:hAnsi="標楷體"/>
          <w:sz w:val="24"/>
          <w:szCs w:val="24"/>
        </w:rPr>
        <w:t>。</w:t>
      </w:r>
    </w:p>
    <w:p w:rsidR="004B06C4" w:rsidRPr="004A4F90" w:rsidRDefault="004A4F90" w:rsidP="004A4F90">
      <w:pPr>
        <w:spacing w:line="288" w:lineRule="exact"/>
        <w:ind w:leftChars="300" w:left="840" w:hangingChars="100" w:hanging="240"/>
        <w:rPr>
          <w:rFonts w:ascii="標楷體" w:eastAsia="標楷體" w:hAnsi="標楷體"/>
          <w:sz w:val="24"/>
          <w:szCs w:val="24"/>
        </w:rPr>
      </w:pPr>
      <w:r>
        <w:rPr>
          <w:rFonts w:ascii="標楷體" w:eastAsia="標楷體" w:hAnsi="標楷體" w:hint="eastAsia"/>
          <w:sz w:val="24"/>
          <w:szCs w:val="24"/>
        </w:rPr>
        <w:t>2.</w:t>
      </w:r>
      <w:r w:rsidR="00BC63A8" w:rsidRPr="004A4F90">
        <w:rPr>
          <w:rFonts w:ascii="標楷體" w:eastAsia="標楷體" w:hAnsi="標楷體"/>
          <w:sz w:val="24"/>
          <w:szCs w:val="24"/>
        </w:rPr>
        <w:t>授課人員及觀課教師可依108年屏東縣政府辦理國民中學與國民小學實施校長及教師公開授課原則補充規定，給予研習時數證明。</w:t>
      </w:r>
    </w:p>
    <w:p w:rsidR="00BC63A8" w:rsidRPr="004A4F90" w:rsidRDefault="00BC63A8" w:rsidP="00BC63A8">
      <w:pPr>
        <w:spacing w:line="279" w:lineRule="exact"/>
        <w:rPr>
          <w:rFonts w:ascii="標楷體" w:eastAsia="標楷體" w:hAnsi="標楷體"/>
          <w:sz w:val="24"/>
          <w:szCs w:val="24"/>
        </w:rPr>
      </w:pPr>
    </w:p>
    <w:p w:rsidR="004B06C4" w:rsidRPr="004A4F90" w:rsidRDefault="004B06C4" w:rsidP="004A4F90">
      <w:pPr>
        <w:spacing w:line="336" w:lineRule="exact"/>
        <w:rPr>
          <w:rFonts w:ascii="標楷體" w:eastAsia="標楷體" w:hAnsi="標楷體"/>
          <w:b/>
          <w:sz w:val="28"/>
          <w:szCs w:val="28"/>
        </w:rPr>
      </w:pPr>
      <w:r w:rsidRPr="004A4F90">
        <w:rPr>
          <w:rFonts w:ascii="標楷體" w:eastAsia="標楷體" w:hAnsi="標楷體"/>
          <w:b/>
          <w:sz w:val="28"/>
          <w:szCs w:val="28"/>
        </w:rPr>
        <w:t>五、預期效益</w:t>
      </w:r>
    </w:p>
    <w:p w:rsidR="00BC63A8" w:rsidRPr="004A4F90" w:rsidRDefault="004A4F90" w:rsidP="004A4F90">
      <w:pPr>
        <w:spacing w:beforeLines="50" w:before="18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(一)</w:t>
      </w:r>
      <w:r w:rsidR="00BC63A8" w:rsidRPr="004A4F90">
        <w:rPr>
          <w:rFonts w:ascii="標楷體" w:eastAsia="標楷體" w:hAnsi="標楷體"/>
          <w:sz w:val="24"/>
          <w:szCs w:val="24"/>
        </w:rPr>
        <w:t xml:space="preserve">「教學觀察」是教師一項重要專業能力，透過公開授課及入班觀察，冀能提昇教師教學效能。 </w:t>
      </w:r>
    </w:p>
    <w:p w:rsidR="00BC63A8" w:rsidRPr="004A4F90" w:rsidRDefault="004A4F90" w:rsidP="004A4F90">
      <w:pPr>
        <w:spacing w:beforeLines="50" w:before="18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(二)</w:t>
      </w:r>
      <w:r w:rsidR="00BC63A8" w:rsidRPr="004A4F90">
        <w:rPr>
          <w:rFonts w:ascii="標楷體" w:eastAsia="標楷體" w:hAnsi="標楷體"/>
          <w:sz w:val="24"/>
          <w:szCs w:val="24"/>
        </w:rPr>
        <w:t xml:space="preserve">透過觀課知能研習，熟悉質性及量化各項觀察工具的操作技術，並能適當運用於教學觀察中，俾以提供相關訊息給公開授課者，以提升彼此教學效能。 </w:t>
      </w:r>
    </w:p>
    <w:p w:rsidR="00BC63A8" w:rsidRPr="004A4F90" w:rsidRDefault="004A4F90" w:rsidP="004A4F90">
      <w:pPr>
        <w:spacing w:beforeLines="50" w:before="18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(三)</w:t>
      </w:r>
      <w:r w:rsidR="00BC63A8" w:rsidRPr="004A4F90">
        <w:rPr>
          <w:rFonts w:ascii="標楷體" w:eastAsia="標楷體" w:hAnsi="標楷體"/>
          <w:sz w:val="24"/>
          <w:szCs w:val="24"/>
        </w:rPr>
        <w:t xml:space="preserve">透過公開授課及公開觀課，學生在教學活動中與教師的互動反應及相關表現，更可受到關注。 </w:t>
      </w:r>
    </w:p>
    <w:p w:rsidR="004B06C4" w:rsidRPr="004A4F90" w:rsidRDefault="004A4F90" w:rsidP="004A4F90">
      <w:pPr>
        <w:spacing w:beforeLines="50" w:before="180" w:line="276" w:lineRule="exact"/>
        <w:ind w:leftChars="100" w:left="680" w:hangingChars="200" w:hanging="480"/>
        <w:rPr>
          <w:rFonts w:ascii="標楷體" w:eastAsia="標楷體" w:hAnsi="標楷體"/>
          <w:sz w:val="24"/>
          <w:szCs w:val="24"/>
        </w:rPr>
      </w:pPr>
      <w:r w:rsidRPr="004A4F90">
        <w:rPr>
          <w:rFonts w:ascii="標楷體" w:eastAsia="標楷體" w:hAnsi="標楷體"/>
          <w:sz w:val="24"/>
          <w:szCs w:val="24"/>
        </w:rPr>
        <w:t>(四)</w:t>
      </w:r>
      <w:r w:rsidR="00BC63A8" w:rsidRPr="004A4F90">
        <w:rPr>
          <w:rFonts w:ascii="標楷體" w:eastAsia="標楷體" w:hAnsi="標楷體"/>
          <w:sz w:val="24"/>
          <w:szCs w:val="24"/>
        </w:rPr>
        <w:t xml:space="preserve">教師同儕充分合作、協同，以自我專業成長為目標，並能相互提攜，形塑「學習共同體」及「學習型組織」的校園文化氛圍。 </w:t>
      </w:r>
    </w:p>
    <w:p w:rsidR="00BC63A8" w:rsidRPr="004A4F90" w:rsidRDefault="00BC63A8" w:rsidP="004B06C4">
      <w:pPr>
        <w:spacing w:line="336" w:lineRule="exact"/>
        <w:ind w:left="20"/>
        <w:rPr>
          <w:rFonts w:ascii="標楷體" w:eastAsia="標楷體" w:hAnsi="標楷體"/>
          <w:b/>
          <w:sz w:val="24"/>
          <w:szCs w:val="24"/>
        </w:rPr>
      </w:pPr>
    </w:p>
    <w:p w:rsidR="004B06C4" w:rsidRPr="004A4F90" w:rsidRDefault="004B06C4" w:rsidP="004A4F90">
      <w:pPr>
        <w:spacing w:line="336" w:lineRule="exact"/>
        <w:rPr>
          <w:rFonts w:ascii="標楷體" w:eastAsia="標楷體" w:hAnsi="標楷體"/>
          <w:b/>
          <w:sz w:val="28"/>
          <w:szCs w:val="28"/>
        </w:rPr>
      </w:pPr>
      <w:r w:rsidRPr="004A4F90">
        <w:rPr>
          <w:rFonts w:ascii="標楷體" w:eastAsia="標楷體" w:hAnsi="標楷體"/>
          <w:b/>
          <w:sz w:val="28"/>
          <w:szCs w:val="28"/>
        </w:rPr>
        <w:t>六、本計畫經</w:t>
      </w:r>
      <w:r w:rsidR="002E274D">
        <w:rPr>
          <w:rFonts w:ascii="標楷體" w:eastAsia="標楷體" w:hAnsi="標楷體" w:hint="eastAsia"/>
          <w:b/>
          <w:sz w:val="28"/>
          <w:szCs w:val="28"/>
        </w:rPr>
        <w:t>陳校長</w:t>
      </w:r>
      <w:bookmarkStart w:id="1" w:name="_GoBack"/>
      <w:bookmarkEnd w:id="1"/>
      <w:r w:rsidRPr="004A4F90">
        <w:rPr>
          <w:rFonts w:ascii="標楷體" w:eastAsia="標楷體" w:hAnsi="標楷體"/>
          <w:b/>
          <w:sz w:val="28"/>
          <w:szCs w:val="28"/>
        </w:rPr>
        <w:t>核定後施行，修正時亦同。</w:t>
      </w:r>
    </w:p>
    <w:sectPr w:rsidR="004B06C4" w:rsidRPr="004A4F9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73154"/>
    <w:multiLevelType w:val="hybridMultilevel"/>
    <w:tmpl w:val="0054E28E"/>
    <w:lvl w:ilvl="0" w:tplc="E760ED1C">
      <w:start w:val="1"/>
      <w:numFmt w:val="taiwaneseCountingThousand"/>
      <w:lvlText w:val="(%1)"/>
      <w:lvlJc w:val="left"/>
      <w:pPr>
        <w:ind w:left="836" w:hanging="576"/>
      </w:pPr>
      <w:rPr>
        <w:rFonts w:hint="default"/>
        <w:sz w:val="24"/>
      </w:rPr>
    </w:lvl>
    <w:lvl w:ilvl="1" w:tplc="04090019" w:tentative="1">
      <w:start w:val="1"/>
      <w:numFmt w:val="ideographTraditional"/>
      <w:lvlText w:val="%2、"/>
      <w:lvlJc w:val="left"/>
      <w:pPr>
        <w:ind w:left="1220" w:hanging="480"/>
      </w:pPr>
    </w:lvl>
    <w:lvl w:ilvl="2" w:tplc="0409001B" w:tentative="1">
      <w:start w:val="1"/>
      <w:numFmt w:val="lowerRoman"/>
      <w:lvlText w:val="%3."/>
      <w:lvlJc w:val="right"/>
      <w:pPr>
        <w:ind w:left="1700" w:hanging="480"/>
      </w:pPr>
    </w:lvl>
    <w:lvl w:ilvl="3" w:tplc="0409000F" w:tentative="1">
      <w:start w:val="1"/>
      <w:numFmt w:val="decimal"/>
      <w:lvlText w:val="%4."/>
      <w:lvlJc w:val="left"/>
      <w:pPr>
        <w:ind w:left="2180" w:hanging="480"/>
      </w:pPr>
    </w:lvl>
    <w:lvl w:ilvl="4" w:tplc="04090019" w:tentative="1">
      <w:start w:val="1"/>
      <w:numFmt w:val="ideographTraditional"/>
      <w:lvlText w:val="%5、"/>
      <w:lvlJc w:val="left"/>
      <w:pPr>
        <w:ind w:left="2660" w:hanging="480"/>
      </w:pPr>
    </w:lvl>
    <w:lvl w:ilvl="5" w:tplc="0409001B" w:tentative="1">
      <w:start w:val="1"/>
      <w:numFmt w:val="lowerRoman"/>
      <w:lvlText w:val="%6."/>
      <w:lvlJc w:val="right"/>
      <w:pPr>
        <w:ind w:left="3140" w:hanging="480"/>
      </w:pPr>
    </w:lvl>
    <w:lvl w:ilvl="6" w:tplc="0409000F" w:tentative="1">
      <w:start w:val="1"/>
      <w:numFmt w:val="decimal"/>
      <w:lvlText w:val="%7."/>
      <w:lvlJc w:val="left"/>
      <w:pPr>
        <w:ind w:left="3620" w:hanging="480"/>
      </w:pPr>
    </w:lvl>
    <w:lvl w:ilvl="7" w:tplc="04090019" w:tentative="1">
      <w:start w:val="1"/>
      <w:numFmt w:val="ideographTraditional"/>
      <w:lvlText w:val="%8、"/>
      <w:lvlJc w:val="left"/>
      <w:pPr>
        <w:ind w:left="4100" w:hanging="480"/>
      </w:pPr>
    </w:lvl>
    <w:lvl w:ilvl="8" w:tplc="0409001B" w:tentative="1">
      <w:start w:val="1"/>
      <w:numFmt w:val="lowerRoman"/>
      <w:lvlText w:val="%9."/>
      <w:lvlJc w:val="right"/>
      <w:pPr>
        <w:ind w:left="4580" w:hanging="480"/>
      </w:pPr>
    </w:lvl>
  </w:abstractNum>
  <w:abstractNum w:abstractNumId="1" w15:restartNumberingAfterBreak="0">
    <w:nsid w:val="1F3C7A3B"/>
    <w:multiLevelType w:val="hybridMultilevel"/>
    <w:tmpl w:val="60AE5660"/>
    <w:lvl w:ilvl="0" w:tplc="66E85E56">
      <w:start w:val="1"/>
      <w:numFmt w:val="decimal"/>
      <w:lvlText w:val="%1."/>
      <w:lvlJc w:val="left"/>
      <w:pPr>
        <w:ind w:left="1164" w:hanging="360"/>
      </w:pPr>
      <w:rPr>
        <w:rFonts w:hint="default"/>
      </w:rPr>
    </w:lvl>
    <w:lvl w:ilvl="1" w:tplc="04090019" w:tentative="1">
      <w:start w:val="1"/>
      <w:numFmt w:val="ideographTraditional"/>
      <w:lvlText w:val="%2、"/>
      <w:lvlJc w:val="left"/>
      <w:pPr>
        <w:ind w:left="1764" w:hanging="480"/>
      </w:pPr>
    </w:lvl>
    <w:lvl w:ilvl="2" w:tplc="0409001B" w:tentative="1">
      <w:start w:val="1"/>
      <w:numFmt w:val="lowerRoman"/>
      <w:lvlText w:val="%3."/>
      <w:lvlJc w:val="right"/>
      <w:pPr>
        <w:ind w:left="2244" w:hanging="480"/>
      </w:pPr>
    </w:lvl>
    <w:lvl w:ilvl="3" w:tplc="0409000F" w:tentative="1">
      <w:start w:val="1"/>
      <w:numFmt w:val="decimal"/>
      <w:lvlText w:val="%4."/>
      <w:lvlJc w:val="left"/>
      <w:pPr>
        <w:ind w:left="2724" w:hanging="480"/>
      </w:pPr>
    </w:lvl>
    <w:lvl w:ilvl="4" w:tplc="04090019" w:tentative="1">
      <w:start w:val="1"/>
      <w:numFmt w:val="ideographTraditional"/>
      <w:lvlText w:val="%5、"/>
      <w:lvlJc w:val="left"/>
      <w:pPr>
        <w:ind w:left="3204" w:hanging="480"/>
      </w:pPr>
    </w:lvl>
    <w:lvl w:ilvl="5" w:tplc="0409001B" w:tentative="1">
      <w:start w:val="1"/>
      <w:numFmt w:val="lowerRoman"/>
      <w:lvlText w:val="%6."/>
      <w:lvlJc w:val="right"/>
      <w:pPr>
        <w:ind w:left="3684" w:hanging="480"/>
      </w:pPr>
    </w:lvl>
    <w:lvl w:ilvl="6" w:tplc="0409000F" w:tentative="1">
      <w:start w:val="1"/>
      <w:numFmt w:val="decimal"/>
      <w:lvlText w:val="%7."/>
      <w:lvlJc w:val="left"/>
      <w:pPr>
        <w:ind w:left="4164" w:hanging="480"/>
      </w:pPr>
    </w:lvl>
    <w:lvl w:ilvl="7" w:tplc="04090019" w:tentative="1">
      <w:start w:val="1"/>
      <w:numFmt w:val="ideographTraditional"/>
      <w:lvlText w:val="%8、"/>
      <w:lvlJc w:val="left"/>
      <w:pPr>
        <w:ind w:left="4644" w:hanging="480"/>
      </w:pPr>
    </w:lvl>
    <w:lvl w:ilvl="8" w:tplc="0409001B" w:tentative="1">
      <w:start w:val="1"/>
      <w:numFmt w:val="lowerRoman"/>
      <w:lvlText w:val="%9."/>
      <w:lvlJc w:val="right"/>
      <w:pPr>
        <w:ind w:left="5124" w:hanging="480"/>
      </w:pPr>
    </w:lvl>
  </w:abstractNum>
  <w:abstractNum w:abstractNumId="2" w15:restartNumberingAfterBreak="0">
    <w:nsid w:val="54377BBB"/>
    <w:multiLevelType w:val="hybridMultilevel"/>
    <w:tmpl w:val="2332B6D2"/>
    <w:lvl w:ilvl="0" w:tplc="BF8CEA9C">
      <w:start w:val="1"/>
      <w:numFmt w:val="decimal"/>
      <w:lvlText w:val="%1."/>
      <w:lvlJc w:val="left"/>
      <w:pPr>
        <w:ind w:left="1220" w:hanging="360"/>
      </w:pPr>
      <w:rPr>
        <w:rFonts w:hint="default"/>
        <w:sz w:val="24"/>
      </w:r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6C4"/>
    <w:rsid w:val="0013482E"/>
    <w:rsid w:val="002E274D"/>
    <w:rsid w:val="004A4F90"/>
    <w:rsid w:val="004A7A5D"/>
    <w:rsid w:val="004B06C4"/>
    <w:rsid w:val="0057448A"/>
    <w:rsid w:val="009D08A0"/>
    <w:rsid w:val="00BC63A8"/>
    <w:rsid w:val="00C23DBD"/>
    <w:rsid w:val="00E74EC5"/>
    <w:rsid w:val="00E94D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5E5B17-72E9-46FA-91BB-85C2BA42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06C4"/>
    <w:rPr>
      <w:rFonts w:ascii="Calibri"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7A5D"/>
    <w:pPr>
      <w:ind w:leftChars="200" w:left="480"/>
    </w:pPr>
  </w:style>
  <w:style w:type="table" w:styleId="a4">
    <w:name w:val="Table Grid"/>
    <w:basedOn w:val="a1"/>
    <w:uiPriority w:val="39"/>
    <w:rsid w:val="004A7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4</cp:revision>
  <dcterms:created xsi:type="dcterms:W3CDTF">2020-08-25T06:06:00Z</dcterms:created>
  <dcterms:modified xsi:type="dcterms:W3CDTF">2021-11-02T00:59:00Z</dcterms:modified>
</cp:coreProperties>
</file>