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5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"/>
        <w:gridCol w:w="4017"/>
        <w:gridCol w:w="2849"/>
      </w:tblGrid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bookmarkStart w:id="0" w:name="_GoBack"/>
            <w:bookmarkEnd w:id="0"/>
            <w:r>
              <w:t>版本法名稱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r>
              <w:t>保安處分執行法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r>
              <w:t>保安處分執行法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r>
              <w:t>版本條文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r>
              <w:t>1110127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r>
              <w:t>1100531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r>
              <w:t>第四十六條</w:t>
            </w:r>
            <w:r>
              <w:rPr>
                <w:rStyle w:val="status"/>
              </w:rPr>
              <w:t>(</w:t>
            </w:r>
            <w:r>
              <w:rPr>
                <w:rStyle w:val="status"/>
              </w:rPr>
              <w:t>修正</w:t>
            </w:r>
            <w:r>
              <w:rPr>
                <w:rStyle w:val="statu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r>
              <w:t xml:space="preserve">　　因有刑法第十九條第一項、第二項或第二十條之情形，而受監護處分者，檢察官應按其情形，指定下列一款或數款方式執行之：</w:t>
            </w:r>
            <w:r>
              <w:br/>
            </w:r>
            <w:r>
              <w:t xml:space="preserve">　　一、令入司法精神醫院、醫院或其他精神醫療機構接受治療。</w:t>
            </w:r>
            <w:r>
              <w:br/>
            </w:r>
            <w:r>
              <w:t xml:space="preserve">　　二、令入精神復健機構、精神護理機構接受精神照護或復健。</w:t>
            </w:r>
            <w:r>
              <w:br/>
            </w:r>
            <w:r>
              <w:t xml:space="preserve">　　三、令入身心障礙福利機構或其他適當處所接受照顧或輔導。</w:t>
            </w:r>
            <w:r>
              <w:br/>
            </w:r>
            <w:r>
              <w:t xml:space="preserve">　　四、交由法定代理人或最近親屬照顧。</w:t>
            </w:r>
            <w:r>
              <w:br/>
            </w:r>
            <w:r>
              <w:t xml:space="preserve">　　五、接受特定門診治療。</w:t>
            </w:r>
            <w:r>
              <w:br/>
            </w:r>
            <w:r>
              <w:t xml:space="preserve">　　六、其他適當之處遇措施。</w:t>
            </w:r>
            <w:r>
              <w:br/>
            </w:r>
            <w:r>
              <w:t xml:space="preserve">　　檢察官為執行前項規定，得請各級衛生、警政、社會福利主管機關指定人員協助或辦理協調事項。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r>
              <w:t xml:space="preserve">　　因有刑法第十九條第一項、第二項或第二十條之情形，而受監護處分者，檢察官應按其情形，指定精神病院、醫院、慈善團體及其最近親屬或其他適當處所。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r>
              <w:t>第四十六條之一</w:t>
            </w:r>
            <w:r>
              <w:rPr>
                <w:rStyle w:val="status"/>
              </w:rPr>
              <w:t>(</w:t>
            </w:r>
            <w:r>
              <w:rPr>
                <w:rStyle w:val="status"/>
              </w:rPr>
              <w:t>增訂</w:t>
            </w:r>
            <w:r>
              <w:rPr>
                <w:rStyle w:val="statu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r>
              <w:t xml:space="preserve">　　檢察官為執行監護處分，於指定前條第一項之執行方式前，得參酌評估小組之意見。</w:t>
            </w:r>
            <w:r>
              <w:br/>
            </w:r>
            <w:r>
              <w:t xml:space="preserve">　　檢察官於執行監護處分期間內，認有必要時，得依職權或前條第一項各款受指定者之請求，變更執行方式。變更時，得參酌評估小組之評估意見。</w:t>
            </w:r>
            <w:r>
              <w:br/>
            </w:r>
            <w:r>
              <w:t xml:space="preserve">　　前二項評估小組之組成、其委員資格</w:t>
            </w:r>
            <w:r>
              <w:t>、遴（解）聘、評估程序及其他相關事項之辦法，由法務部定之。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r>
              <w:t> 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r>
              <w:t>第四十六條之二</w:t>
            </w:r>
            <w:r>
              <w:rPr>
                <w:rStyle w:val="status"/>
              </w:rPr>
              <w:t>(</w:t>
            </w:r>
            <w:r>
              <w:rPr>
                <w:rStyle w:val="status"/>
              </w:rPr>
              <w:t>增訂</w:t>
            </w:r>
            <w:r>
              <w:rPr>
                <w:rStyle w:val="statu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r>
              <w:t xml:space="preserve">　　執行監護處分期間，檢察官應依刑法第八十七條第四項所定期間，將受處分人送請前條第三項所定評估小組評估有無繼續執行之必要。</w:t>
            </w:r>
            <w:r>
              <w:br/>
            </w:r>
            <w:r>
              <w:t xml:space="preserve">　　檢察官為延長或免其處分之執行聲請時，得參酌前項之評估意見，並得徵詢第四十六條第一項各款受指定者、最近親屬、醫師、心理師、職能治療師、護理人員、輔導人員、社工人員或其他專業人員之意見。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r>
              <w:t> 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r>
              <w:lastRenderedPageBreak/>
              <w:t>第四十六條之三</w:t>
            </w:r>
            <w:r>
              <w:rPr>
                <w:rStyle w:val="status"/>
              </w:rPr>
              <w:t>(</w:t>
            </w:r>
            <w:r>
              <w:rPr>
                <w:rStyle w:val="status"/>
              </w:rPr>
              <w:t>增訂</w:t>
            </w:r>
            <w:r>
              <w:rPr>
                <w:rStyle w:val="statu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r>
              <w:t xml:space="preserve">　　監護處分期間屆滿前三個月內，檢察機關應召開轉銜會議，將受監護處分人轉銜予當地衛生、警政、社會福利、教育、勞動主管機關，由各該主管機關依權責提供受監護處分人就醫、就業、就學、就養、心理治療、心理諮商及其他社區照顧服務。</w:t>
            </w:r>
            <w:r>
              <w:br/>
            </w:r>
            <w:r>
              <w:t xml:space="preserve">　　當地直轄市或縣（市）政府所屬衛生、警政、社會福利、教育、勞動主管機關應指定人員參與前項會議，如認受監護處分人屬於他轄，應於參與前項會議後，再轉銜至該管直轄市或縣（市）政府辦理。</w:t>
            </w:r>
            <w:r>
              <w:br/>
            </w:r>
            <w:r>
              <w:t xml:space="preserve">　　檢察機關召開第一項之會議，應通知更生保護會參與，更生保護會得依更生保護法辦理保護事項。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r>
              <w:t> 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r>
              <w:t>第四十七條</w:t>
            </w:r>
            <w:r>
              <w:rPr>
                <w:rStyle w:val="status"/>
              </w:rPr>
              <w:t>(</w:t>
            </w:r>
            <w:r>
              <w:rPr>
                <w:rStyle w:val="status"/>
              </w:rPr>
              <w:t>刪除</w:t>
            </w:r>
            <w:r>
              <w:rPr>
                <w:rStyle w:val="statu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r>
              <w:t xml:space="preserve">　　（刪除）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r>
              <w:t xml:space="preserve">　　受執行監護之精神病院、醫院，對於因有刑法第十九條第一項或第二項之情形，而受監護處分者，應分別情形，注意治療及監視其行動。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r>
              <w:t>第七十一條</w:t>
            </w:r>
            <w:r>
              <w:rPr>
                <w:rStyle w:val="status"/>
              </w:rPr>
              <w:t>(</w:t>
            </w:r>
            <w:r>
              <w:rPr>
                <w:rStyle w:val="status"/>
              </w:rPr>
              <w:t>修正</w:t>
            </w:r>
            <w:r>
              <w:rPr>
                <w:rStyle w:val="statu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r>
              <w:t xml:space="preserve">　　以保護管束代監護者，對於受保護管束人，應促其繼續完成治療、心理輔導或其他適當之處遇措施，並應注意其心身狀態及其行動與療養。</w:t>
            </w:r>
            <w:r>
              <w:br/>
            </w:r>
            <w:r>
              <w:t xml:space="preserve">　　觀護人對於付保護管束代監護者，得轉介適當團體或機構。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92E">
            <w:r>
              <w:t xml:space="preserve">　　以保護管束代監護者，對於受保護管束人，應注意其心身狀態及其行動與療養。</w:t>
            </w:r>
          </w:p>
        </w:tc>
      </w:tr>
    </w:tbl>
    <w:p w:rsidR="00AA292E" w:rsidRDefault="00AA292E"/>
    <w:sectPr w:rsidR="00AA292E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480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DF4F8D"/>
    <w:rsid w:val="00AA292E"/>
    <w:rsid w:val="00DF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85B78D-8878-4899-9DAD-9C0244FD5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新細明體" w:eastAsia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status">
    <w:name w:val="status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5A88</dc:creator>
  <cp:keywords/>
  <dc:description/>
  <cp:lastModifiedBy>5A88</cp:lastModifiedBy>
  <cp:revision>2</cp:revision>
  <dcterms:created xsi:type="dcterms:W3CDTF">2022-04-18T01:06:00Z</dcterms:created>
  <dcterms:modified xsi:type="dcterms:W3CDTF">2022-04-18T01:06:00Z</dcterms:modified>
</cp:coreProperties>
</file>